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様式第４１（第７０条関係）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充てん設備完成検査結果報告書</w:t>
      </w:r>
      <w:bookmarkStart w:id="0" w:name="_GoBack"/>
      <w:bookmarkEnd w:id="0"/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高圧ガス保安協会又は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指定完成検査機関名　　　　　　　　　　　　　　　　　　　　　　　　　　　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液化石油ガスの保安の確保及び取引の適正化に関する法律第３７条の４第４項で準用する同法第３７条の３第２項の規定により報告します。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報告に係る充てん設備完成検査証の写しを添付すること。</w:t>
      </w:r>
    </w:p>
    <w:p>
      <w:pPr>
        <w:pStyle w:val="0"/>
        <w:adjustRightInd w:val="1"/>
        <w:ind w:left="0" w:leftChars="0" w:right="0" w:rightChars="0" w:firstLine="688" w:firstLineChars="4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２　この用紙の大きさは、日本産業規格Ａ４とすること。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３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73</Words>
  <Characters>420</Characters>
  <Application>JUST Note</Application>
  <Lines>0</Lines>
  <Paragraphs>0</Paragraphs>
  <Company>北海道庁</Company>
  <CharactersWithSpaces>492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2021-01-25T04:16:36Z</dcterms:modified>
  <cp:revision>13</cp:revision>
</cp:coreProperties>
</file>